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Heading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Piano Pluriennale delle Attività (2026-2028)</w:t>
      </w:r>
    </w:p>
    <w:p w:rsidR="00000000" w:rsidDel="00000000" w:rsidP="00000000" w:rsidRDefault="00000000" w:rsidRPr="00000000" w14:paraId="00000002">
      <w:pPr>
        <w:pStyle w:val="Heading2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before="0" w:lineRule="auto"/>
        <w:rPr/>
      </w:pPr>
      <w:r w:rsidDel="00000000" w:rsidR="00000000" w:rsidRPr="00000000">
        <w:rPr>
          <w:rtl w:val="0"/>
        </w:rPr>
        <w:t xml:space="preserve">Sistema Museale di Carloforte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b w:val="1"/>
          <w:bCs w:val="1"/>
          <w:rtl w:val="0"/>
        </w:rPr>
        <w:t xml:space="preserve">Siti Interessati:</w:t>
      </w:r>
      <w:r w:rsidDel="00000000" w:rsidR="00000000" w:rsidRPr="00000000">
        <w:rPr>
          <w:rtl w:val="0"/>
        </w:rPr>
        <w:t xml:space="preserve"> Torre San Vittorio, Casa del Duca, Necropoli.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/>
      </w:pPr>
      <w:r w:rsidDel="00000000" w:rsidR="00000000" w:rsidRPr="00000000">
        <w:rPr>
          <w:b w:val="1"/>
          <w:bCs w:val="1"/>
          <w:rtl w:val="0"/>
        </w:rPr>
        <w:t xml:space="preserve">Direzione Scientifica:</w:t>
      </w:r>
      <w:r w:rsidDel="00000000" w:rsidR="00000000" w:rsidRPr="00000000">
        <w:rPr>
          <w:rtl w:val="0"/>
        </w:rPr>
        <w:t xml:space="preserve"> Marzia Varaldo</w:t>
      </w:r>
    </w:p>
    <w:p w:rsidR="00000000" w:rsidDel="00000000" w:rsidP="00000000" w:rsidRDefault="00000000" w:rsidRPr="00000000" w14:paraId="00000005">
      <w:pPr>
        <w:pStyle w:val="Heading3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before="0" w:lineRule="auto"/>
        <w:rPr/>
      </w:pPr>
      <w:r w:rsidDel="00000000" w:rsidR="00000000" w:rsidRPr="00000000">
        <w:rPr>
          <w:rtl w:val="0"/>
        </w:rPr>
        <w:t xml:space="preserve">1. Introduzione e Visione Strategica</w:t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Il presente documento delinea la strategia di sviluppo del Sistema Museale di Carloforte per il triennio 2026-2028. L'obiettivo primario è il consolidamento del Sistema come polo culturale d'eccellenza nell'ambito della cultura tabarchina, garantendo l'allineamento ai Livelli Uniformi di Qualità della Valorizzazione (LUQV) richiesti dalla Regione Autonoma della Sardegna e dal Sistema Museale Nazionale (SMN).</w:t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/>
      </w:pPr>
      <w:r w:rsidDel="00000000" w:rsidR="00000000" w:rsidRPr="00000000">
        <w:rPr>
          <w:rtl w:val="0"/>
        </w:rPr>
        <w:t xml:space="preserve">La visione si fonda sull'integrazione tra patrimonio materiale (archeologia e architettura) e patrimonio immateriale (memoria e identità), creando una sinergia operativa con il Museo Ràixe di Calasetta.</w:t>
      </w:r>
    </w:p>
    <w:p w:rsidR="00000000" w:rsidDel="00000000" w:rsidP="00000000" w:rsidRDefault="00000000" w:rsidRPr="00000000" w14:paraId="00000008">
      <w:pPr>
        <w:pStyle w:val="Heading3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before="0" w:lineRule="auto"/>
        <w:rPr/>
      </w:pPr>
      <w:r w:rsidDel="00000000" w:rsidR="00000000" w:rsidRPr="00000000">
        <w:rPr>
          <w:rtl w:val="0"/>
        </w:rPr>
        <w:t xml:space="preserve">2. Obiettivi Strategici Generali</w:t>
      </w:r>
    </w:p>
    <w:p w:rsidR="00000000" w:rsidDel="00000000" w:rsidP="00000000" w:rsidRDefault="00000000" w:rsidRPr="00000000" w14:paraId="00000009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00" w:hanging="360"/>
      </w:pPr>
      <w:r w:rsidDel="00000000" w:rsidR="00000000" w:rsidRPr="00000000">
        <w:rPr>
          <w:rtl w:val="0"/>
        </w:rPr>
        <w:t xml:space="preserve">Ottenimento e mantenimento del Riconoscimento Regionale dei musei.</w:t>
      </w:r>
    </w:p>
    <w:p w:rsidR="00000000" w:rsidDel="00000000" w:rsidP="00000000" w:rsidRDefault="00000000" w:rsidRPr="00000000" w14:paraId="0000000A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00" w:hanging="360"/>
      </w:pPr>
      <w:r w:rsidDel="00000000" w:rsidR="00000000" w:rsidRPr="00000000">
        <w:rPr>
          <w:rtl w:val="0"/>
        </w:rPr>
        <w:t xml:space="preserve">Digitalizzazione e catalogazione scientifica del patrimonio tramite il sistema SIRDaC.</w:t>
      </w:r>
    </w:p>
    <w:p w:rsidR="00000000" w:rsidDel="00000000" w:rsidP="00000000" w:rsidRDefault="00000000" w:rsidRPr="00000000" w14:paraId="0000000B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00" w:hanging="360"/>
      </w:pPr>
      <w:r w:rsidDel="00000000" w:rsidR="00000000" w:rsidRPr="00000000">
        <w:rPr>
          <w:rtl w:val="0"/>
        </w:rPr>
        <w:t xml:space="preserve">Miglioramento dell'accessibilità fisica e cognitiva dei siti storici.</w:t>
      </w:r>
    </w:p>
    <w:p w:rsidR="00000000" w:rsidDel="00000000" w:rsidP="00000000" w:rsidRDefault="00000000" w:rsidRPr="00000000" w14:paraId="0000000C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00" w:hanging="360"/>
      </w:pPr>
      <w:r w:rsidDel="00000000" w:rsidR="00000000" w:rsidRPr="00000000">
        <w:rPr>
          <w:rtl w:val="0"/>
        </w:rPr>
        <w:t xml:space="preserve">Internazionalizzazione tramite la rete delle comunità tabarchine del Mediterraneo.</w:t>
      </w:r>
    </w:p>
    <w:p w:rsidR="00000000" w:rsidDel="00000000" w:rsidP="00000000" w:rsidRDefault="00000000" w:rsidRPr="00000000" w14:paraId="0000000D">
      <w:pPr>
        <w:pStyle w:val="Heading3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3. Programmazione delle Attività per Annualità</w:t>
      </w:r>
    </w:p>
    <w:tbl>
      <w:tblPr>
        <w:tblStyle w:val="Table1"/>
        <w:tblW w:w="9360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  <w:insideH w:color="000000" w:space="0" w:sz="6" w:val="single"/>
          <w:insideV w:color="000000" w:space="0" w:sz="6" w:val="single"/>
        </w:tblBorders>
        <w:tblLayout w:type="fixed"/>
        <w:tblLook w:val="0600"/>
      </w:tblPr>
      <w:tblGrid>
        <w:gridCol w:w="3120"/>
        <w:gridCol w:w="3120"/>
        <w:gridCol w:w="3120"/>
        <w:tblGridChange w:id="0">
          <w:tblGrid>
            <w:gridCol w:w="3120"/>
            <w:gridCol w:w="3120"/>
            <w:gridCol w:w="3120"/>
          </w:tblGrid>
        </w:tblGridChange>
      </w:tblGrid>
      <w:tr>
        <w:trPr>
          <w:cantSplit w:val="0"/>
          <w:tblHeader w:val="1"/>
        </w:trPr>
        <w:tc>
          <w:tcPr>
            <w:shd w:fill="f2f2f2" w:val="clear"/>
            <w:tcMar>
              <w:top w:w="150.0" w:type="dxa"/>
              <w:left w:w="150.0" w:type="dxa"/>
              <w:bottom w:w="150.0" w:type="dxa"/>
              <w:right w:w="150.0" w:type="dxa"/>
            </w:tcMar>
            <w:vAlign w:val="top"/>
          </w:tcPr>
          <w:p w:rsidR="00000000" w:rsidDel="00000000" w:rsidP="00000000" w:rsidRDefault="00000000" w:rsidRPr="00000000" w14:paraId="0000000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50" w:before="150" w:lineRule="auto"/>
              <w:rPr>
                <w:shd w:fill="auto" w:val="clear"/>
              </w:rPr>
            </w:pPr>
            <w:r w:rsidDel="00000000" w:rsidR="00000000" w:rsidRPr="00000000">
              <w:rPr>
                <w:shd w:fill="auto" w:val="clear"/>
                <w:rtl w:val="0"/>
              </w:rPr>
              <w:t xml:space="preserve">Anno</w:t>
            </w:r>
          </w:p>
        </w:tc>
        <w:tc>
          <w:tcPr>
            <w:shd w:fill="f2f2f2" w:val="clear"/>
            <w:tcMar>
              <w:top w:w="150.0" w:type="dxa"/>
              <w:left w:w="150.0" w:type="dxa"/>
              <w:bottom w:w="150.0" w:type="dxa"/>
              <w:right w:w="150.0" w:type="dxa"/>
            </w:tcMar>
            <w:vAlign w:val="top"/>
          </w:tcPr>
          <w:p w:rsidR="00000000" w:rsidDel="00000000" w:rsidP="00000000" w:rsidRDefault="00000000" w:rsidRPr="00000000" w14:paraId="0000000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50" w:before="150" w:lineRule="auto"/>
              <w:rPr>
                <w:shd w:fill="auto" w:val="clear"/>
              </w:rPr>
            </w:pPr>
            <w:r w:rsidDel="00000000" w:rsidR="00000000" w:rsidRPr="00000000">
              <w:rPr>
                <w:shd w:fill="auto" w:val="clear"/>
                <w:rtl w:val="0"/>
              </w:rPr>
              <w:t xml:space="preserve">Focus Principale</w:t>
            </w:r>
          </w:p>
        </w:tc>
        <w:tc>
          <w:tcPr>
            <w:shd w:fill="f2f2f2" w:val="clear"/>
            <w:tcMar>
              <w:top w:w="150.0" w:type="dxa"/>
              <w:left w:w="150.0" w:type="dxa"/>
              <w:bottom w:w="150.0" w:type="dxa"/>
              <w:right w:w="150.0" w:type="dxa"/>
            </w:tcMar>
            <w:vAlign w:val="top"/>
          </w:tcPr>
          <w:p w:rsidR="00000000" w:rsidDel="00000000" w:rsidP="00000000" w:rsidRDefault="00000000" w:rsidRPr="00000000" w14:paraId="0000001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50" w:before="150" w:lineRule="auto"/>
              <w:rPr>
                <w:shd w:fill="auto" w:val="clear"/>
              </w:rPr>
            </w:pPr>
            <w:r w:rsidDel="00000000" w:rsidR="00000000" w:rsidRPr="00000000">
              <w:rPr>
                <w:shd w:fill="auto" w:val="clear"/>
                <w:rtl w:val="0"/>
              </w:rPr>
              <w:t xml:space="preserve">Azioni Chiave</w:t>
            </w:r>
          </w:p>
          <w:p w:rsidR="00000000" w:rsidDel="00000000" w:rsidP="00000000" w:rsidRDefault="00000000" w:rsidRPr="00000000" w14:paraId="0000001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 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50.0" w:type="dxa"/>
              <w:left w:w="150.0" w:type="dxa"/>
              <w:bottom w:w="150.0" w:type="dxa"/>
              <w:right w:w="150.0" w:type="dxa"/>
            </w:tcMar>
            <w:vAlign w:val="top"/>
          </w:tcPr>
          <w:p w:rsidR="00000000" w:rsidDel="00000000" w:rsidP="00000000" w:rsidRDefault="00000000" w:rsidRPr="00000000" w14:paraId="0000001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50" w:before="15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2026</w:t>
            </w:r>
          </w:p>
        </w:tc>
        <w:tc>
          <w:tcPr>
            <w:shd w:fill="auto" w:val="clear"/>
            <w:tcMar>
              <w:top w:w="150.0" w:type="dxa"/>
              <w:left w:w="150.0" w:type="dxa"/>
              <w:bottom w:w="150.0" w:type="dxa"/>
              <w:right w:w="150.0" w:type="dxa"/>
            </w:tcMar>
            <w:vAlign w:val="top"/>
          </w:tcPr>
          <w:p w:rsidR="00000000" w:rsidDel="00000000" w:rsidP="00000000" w:rsidRDefault="00000000" w:rsidRPr="00000000" w14:paraId="0000001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50" w:before="150" w:lineRule="auto"/>
              <w:rPr/>
            </w:pPr>
            <w:r w:rsidDel="00000000" w:rsidR="00000000" w:rsidRPr="00000000">
              <w:rPr>
                <w:rtl w:val="0"/>
              </w:rPr>
              <w:t xml:space="preserve">Consolidamento e Riconoscimento</w:t>
            </w:r>
          </w:p>
        </w:tc>
        <w:tc>
          <w:tcPr>
            <w:shd w:fill="auto" w:val="clear"/>
            <w:tcMar>
              <w:top w:w="150.0" w:type="dxa"/>
              <w:left w:w="150.0" w:type="dxa"/>
              <w:bottom w:w="150.0" w:type="dxa"/>
              <w:right w:w="150.0" w:type="dxa"/>
            </w:tcMar>
            <w:vAlign w:val="top"/>
          </w:tcPr>
          <w:p w:rsidR="00000000" w:rsidDel="00000000" w:rsidP="00000000" w:rsidRDefault="00000000" w:rsidRPr="00000000" w14:paraId="0000001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50" w:before="150" w:lineRule="auto"/>
              <w:rPr/>
            </w:pPr>
            <w:r w:rsidDel="00000000" w:rsidR="00000000" w:rsidRPr="00000000">
              <w:rPr>
                <w:rtl w:val="0"/>
              </w:rPr>
              <w:t xml:space="preserve">Istruttoria regionale; Avvio catalogazione SIRDaC; Piano di Monitoraggio Microclimatico (Torre San Vittorio); Biglietto unico integrato.</w:t>
            </w:r>
          </w:p>
        </w:tc>
      </w:tr>
      <w:tr>
        <w:trPr>
          <w:cantSplit w:val="0"/>
          <w:tblHeader w:val="0"/>
        </w:trPr>
        <w:tc>
          <w:tcPr>
            <w:shd w:fill="fafafa" w:val="clear"/>
            <w:tcMar>
              <w:top w:w="150.0" w:type="dxa"/>
              <w:left w:w="150.0" w:type="dxa"/>
              <w:bottom w:w="150.0" w:type="dxa"/>
              <w:right w:w="150.0" w:type="dxa"/>
            </w:tcMar>
            <w:vAlign w:val="top"/>
          </w:tcPr>
          <w:p w:rsidR="00000000" w:rsidDel="00000000" w:rsidP="00000000" w:rsidRDefault="00000000" w:rsidRPr="00000000" w14:paraId="0000001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50" w:before="150" w:lineRule="auto"/>
              <w:rPr>
                <w:b w:val="1"/>
                <w:bCs w:val="1"/>
                <w:shd w:fill="auto" w:val="clear"/>
              </w:rPr>
            </w:pPr>
            <w:r w:rsidDel="00000000" w:rsidR="00000000" w:rsidRPr="00000000">
              <w:rPr>
                <w:b w:val="1"/>
                <w:bCs w:val="1"/>
                <w:shd w:fill="auto" w:val="clear"/>
                <w:rtl w:val="0"/>
              </w:rPr>
              <w:t xml:space="preserve">2027</w:t>
            </w:r>
          </w:p>
        </w:tc>
        <w:tc>
          <w:tcPr>
            <w:shd w:fill="fafafa" w:val="clear"/>
            <w:tcMar>
              <w:top w:w="150.0" w:type="dxa"/>
              <w:left w:w="150.0" w:type="dxa"/>
              <w:bottom w:w="150.0" w:type="dxa"/>
              <w:right w:w="150.0" w:type="dxa"/>
            </w:tcMar>
            <w:vAlign w:val="top"/>
          </w:tcPr>
          <w:p w:rsidR="00000000" w:rsidDel="00000000" w:rsidP="00000000" w:rsidRDefault="00000000" w:rsidRPr="00000000" w14:paraId="0000001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50" w:before="150" w:lineRule="auto"/>
              <w:rPr>
                <w:shd w:fill="auto" w:val="clear"/>
              </w:rPr>
            </w:pPr>
            <w:r w:rsidDel="00000000" w:rsidR="00000000" w:rsidRPr="00000000">
              <w:rPr>
                <w:shd w:fill="auto" w:val="clear"/>
                <w:rtl w:val="0"/>
              </w:rPr>
              <w:t xml:space="preserve">Valorizzazione e Innovazione</w:t>
            </w:r>
          </w:p>
        </w:tc>
        <w:tc>
          <w:tcPr>
            <w:shd w:fill="fafafa" w:val="clear"/>
            <w:tcMar>
              <w:top w:w="150.0" w:type="dxa"/>
              <w:left w:w="150.0" w:type="dxa"/>
              <w:bottom w:w="150.0" w:type="dxa"/>
              <w:right w:w="150.0" w:type="dxa"/>
            </w:tcMar>
            <w:vAlign w:val="top"/>
          </w:tcPr>
          <w:p w:rsidR="00000000" w:rsidDel="00000000" w:rsidP="00000000" w:rsidRDefault="00000000" w:rsidRPr="00000000" w14:paraId="0000001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50" w:before="150" w:lineRule="auto"/>
              <w:rPr>
                <w:shd w:fill="auto" w:val="clear"/>
              </w:rPr>
            </w:pPr>
            <w:r w:rsidDel="00000000" w:rsidR="00000000" w:rsidRPr="00000000">
              <w:rPr>
                <w:shd w:fill="auto" w:val="clear"/>
                <w:rtl w:val="0"/>
              </w:rPr>
              <w:t xml:space="preserve">Virtual Tour per disabilità motorie; Giornata di Studi Archeologici; Laboratori didattici "Piccoli Tabarchini"; Mostra astronomica alla Torre.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50.0" w:type="dxa"/>
              <w:left w:w="150.0" w:type="dxa"/>
              <w:bottom w:w="150.0" w:type="dxa"/>
              <w:right w:w="150.0" w:type="dxa"/>
            </w:tcMar>
            <w:vAlign w:val="top"/>
          </w:tcPr>
          <w:p w:rsidR="00000000" w:rsidDel="00000000" w:rsidP="00000000" w:rsidRDefault="00000000" w:rsidRPr="00000000" w14:paraId="0000001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50" w:before="15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2028</w:t>
            </w:r>
          </w:p>
        </w:tc>
        <w:tc>
          <w:tcPr>
            <w:shd w:fill="auto" w:val="clear"/>
            <w:tcMar>
              <w:top w:w="150.0" w:type="dxa"/>
              <w:left w:w="150.0" w:type="dxa"/>
              <w:bottom w:w="150.0" w:type="dxa"/>
              <w:right w:w="150.0" w:type="dxa"/>
            </w:tcMar>
            <w:vAlign w:val="top"/>
          </w:tcPr>
          <w:p w:rsidR="00000000" w:rsidDel="00000000" w:rsidP="00000000" w:rsidRDefault="00000000" w:rsidRPr="00000000" w14:paraId="0000001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50" w:before="150" w:lineRule="auto"/>
              <w:rPr/>
            </w:pPr>
            <w:r w:rsidDel="00000000" w:rsidR="00000000" w:rsidRPr="00000000">
              <w:rPr>
                <w:rtl w:val="0"/>
              </w:rPr>
              <w:t xml:space="preserve">Networking e Sostenibilità</w:t>
            </w:r>
          </w:p>
        </w:tc>
        <w:tc>
          <w:tcPr>
            <w:shd w:fill="auto" w:val="clear"/>
            <w:tcMar>
              <w:top w:w="150.0" w:type="dxa"/>
              <w:left w:w="150.0" w:type="dxa"/>
              <w:bottom w:w="150.0" w:type="dxa"/>
              <w:right w:w="150.0" w:type="dxa"/>
            </w:tcMar>
            <w:vAlign w:val="top"/>
          </w:tcPr>
          <w:p w:rsidR="00000000" w:rsidDel="00000000" w:rsidP="00000000" w:rsidRDefault="00000000" w:rsidRPr="00000000" w14:paraId="0000001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50" w:before="150" w:lineRule="auto"/>
              <w:rPr/>
            </w:pPr>
            <w:r w:rsidDel="00000000" w:rsidR="00000000" w:rsidRPr="00000000">
              <w:rPr>
                <w:rtl w:val="0"/>
              </w:rPr>
              <w:t xml:space="preserve">Consolidamento rete transfrontaliera; App con realtà aumentata; Festival "Memorie dell'Isola"; Monitoraggio Customer Satisfaction.</w:t>
            </w:r>
          </w:p>
        </w:tc>
      </w:tr>
    </w:tbl>
    <w:p w:rsidR="00000000" w:rsidDel="00000000" w:rsidP="00000000" w:rsidRDefault="00000000" w:rsidRPr="00000000" w14:paraId="0000001B">
      <w:pPr>
        <w:pStyle w:val="Heading3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before="300" w:lineRule="auto"/>
        <w:rPr/>
      </w:pPr>
      <w:r w:rsidDel="00000000" w:rsidR="00000000" w:rsidRPr="00000000">
        <w:rPr>
          <w:rtl w:val="0"/>
        </w:rPr>
        <w:t xml:space="preserve">4. Gestione delle Collezioni e Catalogazione</w:t>
      </w:r>
    </w:p>
    <w:p w:rsidR="00000000" w:rsidDel="00000000" w:rsidP="00000000" w:rsidRDefault="00000000" w:rsidRPr="00000000" w14:paraId="0000001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Nel corso del triennio, si procederà alla catalogazione sistematica secondo gli standard ICCD. Le tipologie di schede identificate sono:</w:t>
      </w:r>
    </w:p>
    <w:p w:rsidR="00000000" w:rsidDel="00000000" w:rsidP="00000000" w:rsidRDefault="00000000" w:rsidRPr="00000000" w14:paraId="0000001D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00" w:hanging="360"/>
      </w:pPr>
      <w:r w:rsidDel="00000000" w:rsidR="00000000" w:rsidRPr="00000000">
        <w:rPr>
          <w:b w:val="1"/>
          <w:bCs w:val="1"/>
          <w:rtl w:val="0"/>
        </w:rPr>
        <w:t xml:space="preserve">Scheda RA (Reperti Archeologici):</w:t>
      </w:r>
      <w:r w:rsidDel="00000000" w:rsidR="00000000" w:rsidRPr="00000000">
        <w:rPr>
          <w:rtl w:val="0"/>
        </w:rPr>
        <w:t xml:space="preserve"> Per i materiali della Necropoli.</w:t>
      </w:r>
    </w:p>
    <w:p w:rsidR="00000000" w:rsidDel="00000000" w:rsidP="00000000" w:rsidRDefault="00000000" w:rsidRPr="00000000" w14:paraId="0000001E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00" w:hanging="360"/>
      </w:pPr>
      <w:r w:rsidDel="00000000" w:rsidR="00000000" w:rsidRPr="00000000">
        <w:rPr>
          <w:b w:val="1"/>
          <w:bCs w:val="1"/>
          <w:rtl w:val="0"/>
        </w:rPr>
        <w:t xml:space="preserve">Scheda SI (Sito Archeologico):</w:t>
      </w:r>
      <w:r w:rsidDel="00000000" w:rsidR="00000000" w:rsidRPr="00000000">
        <w:rPr>
          <w:rtl w:val="0"/>
        </w:rPr>
        <w:t xml:space="preserve"> Per la Necropoli nel suo complesso.</w:t>
      </w:r>
    </w:p>
    <w:p w:rsidR="00000000" w:rsidDel="00000000" w:rsidP="00000000" w:rsidRDefault="00000000" w:rsidRPr="00000000" w14:paraId="0000001F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00" w:hanging="360"/>
      </w:pPr>
      <w:r w:rsidDel="00000000" w:rsidR="00000000" w:rsidRPr="00000000">
        <w:rPr>
          <w:b w:val="1"/>
          <w:bCs w:val="1"/>
          <w:rtl w:val="0"/>
        </w:rPr>
        <w:t xml:space="preserve">Scheda A (Architettura):</w:t>
      </w:r>
      <w:r w:rsidDel="00000000" w:rsidR="00000000" w:rsidRPr="00000000">
        <w:rPr>
          <w:rtl w:val="0"/>
        </w:rPr>
        <w:t xml:space="preserve"> Per la Torre San Vittorio e la Casa del Duca.</w:t>
      </w:r>
    </w:p>
    <w:p w:rsidR="00000000" w:rsidDel="00000000" w:rsidP="00000000" w:rsidRDefault="00000000" w:rsidRPr="00000000" w14:paraId="00000020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00" w:hanging="360"/>
      </w:pPr>
      <w:r w:rsidDel="00000000" w:rsidR="00000000" w:rsidRPr="00000000">
        <w:rPr>
          <w:b w:val="1"/>
          <w:bCs w:val="1"/>
          <w:rtl w:val="0"/>
        </w:rPr>
        <w:t xml:space="preserve">Scheda OA (Opere e Oggetti d'Arte):</w:t>
      </w:r>
      <w:r w:rsidDel="00000000" w:rsidR="00000000" w:rsidRPr="00000000">
        <w:rPr>
          <w:rtl w:val="0"/>
        </w:rPr>
        <w:t xml:space="preserve"> Per i beni storici mobili.</w:t>
      </w:r>
    </w:p>
    <w:p w:rsidR="00000000" w:rsidDel="00000000" w:rsidP="00000000" w:rsidRDefault="00000000" w:rsidRPr="00000000" w14:paraId="00000021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00" w:hanging="360"/>
      </w:pPr>
      <w:r w:rsidDel="00000000" w:rsidR="00000000" w:rsidRPr="00000000">
        <w:rPr>
          <w:b w:val="1"/>
          <w:bCs w:val="1"/>
          <w:rtl w:val="0"/>
        </w:rPr>
        <w:t xml:space="preserve">Scheda BDI (Beni Documentari Immateriali):</w:t>
      </w:r>
      <w:r w:rsidDel="00000000" w:rsidR="00000000" w:rsidRPr="00000000">
        <w:rPr>
          <w:rtl w:val="0"/>
        </w:rPr>
        <w:t xml:space="preserve"> per Casa del Duca</w:t>
      </w:r>
    </w:p>
    <w:p w:rsidR="00000000" w:rsidDel="00000000" w:rsidP="00000000" w:rsidRDefault="00000000" w:rsidRPr="00000000" w14:paraId="00000022">
      <w:pPr>
        <w:pStyle w:val="Heading3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5. Conservazione Preventiva e Sicurezza</w:t>
      </w:r>
    </w:p>
    <w:p w:rsidR="00000000" w:rsidDel="00000000" w:rsidP="00000000" w:rsidRDefault="00000000" w:rsidRPr="00000000" w14:paraId="0000002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Il sistema si impegna a redigere entro il 2026 i seguenti protocolli:</w:t>
      </w:r>
    </w:p>
    <w:p w:rsidR="00000000" w:rsidDel="00000000" w:rsidP="00000000" w:rsidRDefault="00000000" w:rsidRPr="00000000" w14:paraId="00000024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00" w:hanging="360"/>
      </w:pPr>
      <w:r w:rsidDel="00000000" w:rsidR="00000000" w:rsidRPr="00000000">
        <w:rPr>
          <w:rtl w:val="0"/>
        </w:rPr>
        <w:t xml:space="preserve">Piano di manutenzione ordinaria programmata.</w:t>
      </w:r>
    </w:p>
    <w:p w:rsidR="00000000" w:rsidDel="00000000" w:rsidP="00000000" w:rsidRDefault="00000000" w:rsidRPr="00000000" w14:paraId="00000025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00" w:hanging="360"/>
      </w:pPr>
      <w:r w:rsidDel="00000000" w:rsidR="00000000" w:rsidRPr="00000000">
        <w:rPr>
          <w:rtl w:val="0"/>
        </w:rPr>
        <w:t xml:space="preserve">Protocollo di emergenza per la protezione dei beni in caso di calamità.</w:t>
      </w:r>
    </w:p>
    <w:p w:rsidR="00000000" w:rsidDel="00000000" w:rsidP="00000000" w:rsidRDefault="00000000" w:rsidRPr="00000000" w14:paraId="00000026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00" w:hanging="360"/>
      </w:pPr>
      <w:r w:rsidDel="00000000" w:rsidR="00000000" w:rsidRPr="00000000">
        <w:rPr>
          <w:rtl w:val="0"/>
        </w:rPr>
        <w:t xml:space="preserve">Sistema di rilevamento dati ambientali (Umidità e Temperatura) nelle sedi espositive.</w:t>
      </w:r>
    </w:p>
    <w:p w:rsidR="00000000" w:rsidDel="00000000" w:rsidP="00000000" w:rsidRDefault="00000000" w:rsidRPr="00000000" w14:paraId="00000027">
      <w:pPr>
        <w:pStyle w:val="Heading3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6. Comunicazione e Servizi al Pubblico</w:t>
      </w:r>
    </w:p>
    <w:p w:rsidR="00000000" w:rsidDel="00000000" w:rsidP="00000000" w:rsidRDefault="00000000" w:rsidRPr="00000000" w14:paraId="0000002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La strategia di comunicazione prevede l'unificazione dei canali social sotto un unico brand di sistema. Sarà data priorità alla multilinguismo (Italiano, Inglese, Francese) e alla produzione di materiale informativo accessibile (Easy-to-read).</w:t>
      </w:r>
    </w:p>
    <w:p w:rsidR="00000000" w:rsidDel="00000000" w:rsidP="00000000" w:rsidRDefault="00000000" w:rsidRPr="00000000" w14:paraId="0000002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i w:val="1"/>
          <w:iCs w:val="1"/>
        </w:rPr>
      </w:pPr>
      <w:r w:rsidDel="00000000" w:rsidR="00000000" w:rsidRPr="00000000">
        <w:rPr>
          <w:i w:val="1"/>
          <w:iCs w:val="1"/>
          <w:rtl w:val="0"/>
        </w:rPr>
        <w:t xml:space="preserve">Documento redatto per il riconoscimento dei musei e luoghi della cultura della Regione Sardegna.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60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60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3">
    <w:lvl w:ilvl="0">
      <w:start w:val="1"/>
      <w:numFmt w:val="bullet"/>
      <w:lvlText w:val="●"/>
      <w:lvlJc w:val="left"/>
      <w:pPr>
        <w:ind w:left="60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bCs w:val="1"/>
      <w:i w:val="0"/>
      <w:iCs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bCs w:val="1"/>
      <w:i w:val="0"/>
      <w:iCs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bCs w:val="1"/>
      <w:i w:val="0"/>
      <w:iCs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bCs w:val="1"/>
      <w:i w:val="0"/>
      <w:iCs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bCs w:val="1"/>
      <w:i w:val="0"/>
      <w:iCs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bCs w:val="1"/>
      <w:i w:val="0"/>
      <w:iCs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